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宋金霞</w:t>
      </w:r>
      <w:r>
        <w:rPr>
          <w:rFonts w:hint="eastAsia"/>
          <w:sz w:val="15"/>
          <w:szCs w:val="15"/>
          <w:highlight w:val="none"/>
        </w:rPr>
        <w:t>，</w:t>
      </w:r>
      <w:r>
        <w:rPr>
          <w:rFonts w:hint="eastAsia"/>
          <w:sz w:val="15"/>
          <w:szCs w:val="15"/>
          <w:highlight w:val="none"/>
          <w:lang w:val="en-US" w:eastAsia="zh-CN"/>
        </w:rPr>
        <w:t>130126198611013041</w:t>
      </w:r>
      <w:r>
        <w:rPr>
          <w:rFonts w:hint="eastAsia"/>
          <w:sz w:val="15"/>
          <w:szCs w:val="15"/>
        </w:rPr>
        <w:t xml:space="preserve">  </w:t>
      </w:r>
      <w:r>
        <w:rPr>
          <w:rFonts w:hint="eastAsia"/>
          <w:sz w:val="15"/>
          <w:szCs w:val="15"/>
          <w:lang w:val="en-US" w:eastAsia="zh-CN"/>
        </w:rPr>
        <w:t>冀A06637D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