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邢丹</w:t>
      </w:r>
      <w:r>
        <w:rPr>
          <w:rFonts w:hint="eastAsia"/>
          <w:sz w:val="15"/>
          <w:szCs w:val="15"/>
          <w:highlight w:val="none"/>
        </w:rPr>
        <w:t>，</w:t>
      </w:r>
      <w:r>
        <w:rPr>
          <w:rFonts w:hint="eastAsia"/>
          <w:sz w:val="15"/>
          <w:szCs w:val="15"/>
          <w:highlight w:val="none"/>
          <w:lang w:val="en-US" w:eastAsia="zh-CN"/>
        </w:rPr>
        <w:t>231181200010203922</w:t>
      </w:r>
      <w:r>
        <w:rPr>
          <w:rFonts w:hint="eastAsia"/>
          <w:sz w:val="15"/>
          <w:szCs w:val="15"/>
        </w:rPr>
        <w:t xml:space="preserve">  </w:t>
      </w:r>
      <w:r>
        <w:rPr>
          <w:rFonts w:hint="eastAsia"/>
          <w:sz w:val="15"/>
          <w:szCs w:val="15"/>
          <w:lang w:val="en-US" w:eastAsia="zh-CN"/>
        </w:rPr>
        <w:t>冀A30630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