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刘晨龙</w:t>
      </w:r>
      <w:r>
        <w:rPr>
          <w:rFonts w:hint="eastAsia"/>
          <w:sz w:val="15"/>
          <w:szCs w:val="15"/>
          <w:highlight w:val="none"/>
        </w:rPr>
        <w:t>，</w:t>
      </w:r>
      <w:r>
        <w:rPr>
          <w:rFonts w:hint="eastAsia"/>
          <w:sz w:val="15"/>
          <w:szCs w:val="15"/>
          <w:highlight w:val="none"/>
          <w:lang w:val="en-US" w:eastAsia="zh-CN"/>
        </w:rPr>
        <w:t>130126198604100614</w:t>
      </w:r>
      <w:r>
        <w:rPr>
          <w:rFonts w:hint="eastAsia"/>
          <w:sz w:val="15"/>
          <w:szCs w:val="15"/>
        </w:rPr>
        <w:t xml:space="preserve">  </w:t>
      </w:r>
      <w:r>
        <w:rPr>
          <w:rFonts w:hint="eastAsia"/>
          <w:sz w:val="15"/>
          <w:szCs w:val="15"/>
          <w:lang w:val="en-US" w:eastAsia="zh-CN"/>
        </w:rPr>
        <w:t>冀A06169D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