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赵天怡</w:t>
      </w:r>
      <w:r>
        <w:rPr>
          <w:rFonts w:hint="eastAsia"/>
          <w:sz w:val="15"/>
          <w:szCs w:val="15"/>
          <w:highlight w:val="none"/>
        </w:rPr>
        <w:t>，</w:t>
      </w:r>
      <w:r>
        <w:rPr>
          <w:rFonts w:hint="eastAsia"/>
          <w:sz w:val="15"/>
          <w:szCs w:val="15"/>
          <w:highlight w:val="none"/>
          <w:lang w:val="en-US" w:eastAsia="zh-CN"/>
        </w:rPr>
        <w:t>130123200410190106</w:t>
      </w:r>
      <w:r>
        <w:rPr>
          <w:rFonts w:hint="eastAsia"/>
          <w:sz w:val="15"/>
          <w:szCs w:val="15"/>
        </w:rPr>
        <w:t xml:space="preserve">  </w:t>
      </w:r>
      <w:r>
        <w:rPr>
          <w:rFonts w:hint="eastAsia"/>
          <w:sz w:val="15"/>
          <w:szCs w:val="15"/>
          <w:lang w:val="en-US" w:eastAsia="zh-CN"/>
        </w:rPr>
        <w:t>冀AU0175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