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李雪刚</w:t>
      </w:r>
      <w:r>
        <w:rPr>
          <w:rFonts w:hint="eastAsia"/>
          <w:sz w:val="15"/>
          <w:szCs w:val="15"/>
          <w:highlight w:val="none"/>
        </w:rPr>
        <w:t>，</w:t>
      </w:r>
      <w:r>
        <w:rPr>
          <w:rFonts w:hint="eastAsia"/>
          <w:sz w:val="15"/>
          <w:szCs w:val="15"/>
          <w:highlight w:val="none"/>
          <w:lang w:val="en-US" w:eastAsia="zh-CN"/>
        </w:rPr>
        <w:t>13233519800914147X</w:t>
      </w:r>
      <w:r>
        <w:rPr>
          <w:rFonts w:hint="eastAsia"/>
          <w:sz w:val="15"/>
          <w:szCs w:val="15"/>
        </w:rPr>
        <w:t xml:space="preserve">  </w:t>
      </w:r>
      <w:r>
        <w:rPr>
          <w:rFonts w:hint="eastAsia"/>
          <w:sz w:val="15"/>
          <w:szCs w:val="15"/>
          <w:lang w:val="en-US" w:eastAsia="zh-CN"/>
        </w:rPr>
        <w:t>冀A03915D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