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马燕宗</w:t>
      </w:r>
      <w:r>
        <w:rPr>
          <w:rFonts w:hint="eastAsia"/>
          <w:sz w:val="15"/>
          <w:szCs w:val="15"/>
          <w:highlight w:val="none"/>
        </w:rPr>
        <w:t>，</w:t>
      </w:r>
      <w:r>
        <w:rPr>
          <w:rFonts w:hint="eastAsia"/>
          <w:sz w:val="15"/>
          <w:szCs w:val="15"/>
          <w:highlight w:val="none"/>
          <w:lang w:val="en-US" w:eastAsia="zh-CN"/>
        </w:rPr>
        <w:t>130429198103135611</w:t>
      </w:r>
      <w:r>
        <w:rPr>
          <w:rFonts w:hint="eastAsia"/>
          <w:sz w:val="15"/>
          <w:szCs w:val="15"/>
        </w:rPr>
        <w:t xml:space="preserve">  </w:t>
      </w:r>
      <w:r>
        <w:rPr>
          <w:rFonts w:hint="eastAsia"/>
          <w:sz w:val="15"/>
          <w:szCs w:val="15"/>
          <w:lang w:val="en-US" w:eastAsia="zh-CN"/>
        </w:rPr>
        <w:t>冀D20607D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