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袁春龙</w:t>
      </w:r>
      <w:r>
        <w:rPr>
          <w:rFonts w:hint="eastAsia"/>
          <w:sz w:val="15"/>
          <w:szCs w:val="15"/>
          <w:highlight w:val="none"/>
        </w:rPr>
        <w:t>，</w:t>
      </w:r>
      <w:r>
        <w:rPr>
          <w:rFonts w:hint="eastAsia"/>
          <w:sz w:val="15"/>
          <w:szCs w:val="15"/>
          <w:highlight w:val="none"/>
          <w:lang w:val="en-US" w:eastAsia="zh-CN"/>
        </w:rPr>
        <w:t>130131198612283618</w:t>
      </w:r>
      <w:r>
        <w:rPr>
          <w:rFonts w:hint="eastAsia"/>
          <w:sz w:val="15"/>
          <w:szCs w:val="15"/>
        </w:rPr>
        <w:t xml:space="preserve">  </w:t>
      </w:r>
      <w:r>
        <w:rPr>
          <w:rFonts w:hint="eastAsia"/>
          <w:sz w:val="15"/>
          <w:szCs w:val="15"/>
          <w:lang w:val="en-US" w:eastAsia="zh-CN"/>
        </w:rPr>
        <w:t>冀A72P32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