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武光彬</w:t>
      </w:r>
      <w:r>
        <w:rPr>
          <w:rFonts w:hint="eastAsia"/>
          <w:sz w:val="15"/>
          <w:szCs w:val="15"/>
          <w:highlight w:val="none"/>
        </w:rPr>
        <w:t>，</w:t>
      </w:r>
      <w:r>
        <w:rPr>
          <w:rFonts w:hint="eastAsia"/>
          <w:sz w:val="15"/>
          <w:szCs w:val="15"/>
          <w:highlight w:val="none"/>
          <w:lang w:val="en-US" w:eastAsia="zh-CN"/>
        </w:rPr>
        <w:t>130424197603042618</w:t>
      </w:r>
      <w:r>
        <w:rPr>
          <w:rFonts w:hint="eastAsia"/>
          <w:sz w:val="15"/>
          <w:szCs w:val="15"/>
        </w:rPr>
        <w:t xml:space="preserve">  </w:t>
      </w:r>
      <w:r>
        <w:rPr>
          <w:rFonts w:hint="eastAsia"/>
          <w:sz w:val="15"/>
          <w:szCs w:val="15"/>
          <w:lang w:val="en-US" w:eastAsia="zh-CN"/>
        </w:rPr>
        <w:t>冀D27556D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