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王艳国</w:t>
      </w:r>
      <w:r>
        <w:rPr>
          <w:rFonts w:hint="eastAsia"/>
          <w:sz w:val="15"/>
          <w:szCs w:val="15"/>
          <w:highlight w:val="none"/>
        </w:rPr>
        <w:t>，</w:t>
      </w:r>
      <w:r>
        <w:rPr>
          <w:rFonts w:hint="eastAsia"/>
          <w:sz w:val="15"/>
          <w:szCs w:val="15"/>
          <w:highlight w:val="none"/>
          <w:lang w:val="en-US" w:eastAsia="zh-CN"/>
        </w:rPr>
        <w:t>132336198105260838</w:t>
      </w:r>
      <w:r>
        <w:rPr>
          <w:rFonts w:hint="eastAsia"/>
          <w:sz w:val="15"/>
          <w:szCs w:val="15"/>
        </w:rPr>
        <w:t xml:space="preserve">  </w:t>
      </w:r>
      <w:r>
        <w:rPr>
          <w:rFonts w:hint="eastAsia"/>
          <w:sz w:val="15"/>
          <w:szCs w:val="15"/>
          <w:lang w:val="en-US" w:eastAsia="zh-CN"/>
        </w:rPr>
        <w:t>冀A04782D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