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赵民堂</w:t>
      </w:r>
      <w:r>
        <w:rPr>
          <w:rFonts w:hint="eastAsia"/>
          <w:sz w:val="15"/>
          <w:szCs w:val="15"/>
          <w:highlight w:val="none"/>
        </w:rPr>
        <w:t>，</w:t>
      </w:r>
      <w:r>
        <w:rPr>
          <w:rFonts w:hint="eastAsia"/>
          <w:sz w:val="15"/>
          <w:szCs w:val="15"/>
          <w:highlight w:val="none"/>
          <w:lang w:val="en-US" w:eastAsia="zh-CN"/>
        </w:rPr>
        <w:t>130427197011283134</w:t>
      </w:r>
      <w:r>
        <w:rPr>
          <w:rFonts w:hint="eastAsia"/>
          <w:sz w:val="15"/>
          <w:szCs w:val="15"/>
        </w:rPr>
        <w:t xml:space="preserve">  </w:t>
      </w:r>
      <w:r>
        <w:rPr>
          <w:rFonts w:hint="eastAsia"/>
          <w:sz w:val="15"/>
          <w:szCs w:val="15"/>
          <w:lang w:val="en-US" w:eastAsia="zh-CN"/>
        </w:rPr>
        <w:t>冀D11122D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