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杜亦宁</w:t>
      </w:r>
      <w:r>
        <w:rPr>
          <w:rFonts w:hint="eastAsia"/>
          <w:sz w:val="15"/>
          <w:szCs w:val="15"/>
          <w:highlight w:val="none"/>
        </w:rPr>
        <w:t>，</w:t>
      </w:r>
      <w:r>
        <w:rPr>
          <w:rFonts w:hint="eastAsia"/>
          <w:sz w:val="15"/>
          <w:szCs w:val="15"/>
          <w:highlight w:val="none"/>
          <w:lang w:val="en-US" w:eastAsia="zh-CN"/>
        </w:rPr>
        <w:t>130131200409170036</w:t>
      </w:r>
      <w:r>
        <w:rPr>
          <w:rFonts w:hint="eastAsia"/>
          <w:sz w:val="15"/>
          <w:szCs w:val="15"/>
        </w:rPr>
        <w:t xml:space="preserve">  </w:t>
      </w:r>
      <w:r>
        <w:rPr>
          <w:rFonts w:hint="eastAsia"/>
          <w:sz w:val="15"/>
          <w:szCs w:val="15"/>
          <w:lang w:val="en-US" w:eastAsia="zh-CN"/>
        </w:rPr>
        <w:t>冀AH3747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