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檀二波</w:t>
      </w:r>
      <w:r>
        <w:rPr>
          <w:rFonts w:hint="eastAsia"/>
          <w:sz w:val="15"/>
          <w:szCs w:val="15"/>
          <w:highlight w:val="none"/>
        </w:rPr>
        <w:t>，</w:t>
      </w:r>
      <w:r>
        <w:rPr>
          <w:rFonts w:hint="eastAsia"/>
          <w:sz w:val="15"/>
          <w:szCs w:val="15"/>
          <w:highlight w:val="none"/>
          <w:lang w:val="en-US" w:eastAsia="zh-CN"/>
        </w:rPr>
        <w:t>132335197902180012</w:t>
      </w:r>
      <w:r>
        <w:rPr>
          <w:rFonts w:hint="eastAsia"/>
          <w:sz w:val="15"/>
          <w:szCs w:val="15"/>
        </w:rPr>
        <w:t xml:space="preserve">  </w:t>
      </w:r>
      <w:r>
        <w:rPr>
          <w:rFonts w:hint="eastAsia"/>
          <w:sz w:val="15"/>
          <w:szCs w:val="15"/>
          <w:lang w:val="en-US" w:eastAsia="zh-CN"/>
        </w:rPr>
        <w:t>沪A19607A</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