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陈学军</w:t>
      </w:r>
      <w:r>
        <w:rPr>
          <w:rFonts w:hint="eastAsia"/>
          <w:sz w:val="15"/>
          <w:szCs w:val="15"/>
          <w:highlight w:val="none"/>
        </w:rPr>
        <w:t>，</w:t>
      </w:r>
      <w:r>
        <w:rPr>
          <w:rFonts w:hint="eastAsia"/>
          <w:sz w:val="15"/>
          <w:szCs w:val="15"/>
          <w:highlight w:val="none"/>
          <w:lang w:val="en-US" w:eastAsia="zh-CN"/>
        </w:rPr>
        <w:t>132336197311220832</w:t>
      </w:r>
      <w:r>
        <w:rPr>
          <w:rFonts w:hint="eastAsia"/>
          <w:sz w:val="15"/>
          <w:szCs w:val="15"/>
        </w:rPr>
        <w:t xml:space="preserve">  </w:t>
      </w:r>
      <w:r>
        <w:rPr>
          <w:rFonts w:hint="eastAsia"/>
          <w:sz w:val="15"/>
          <w:szCs w:val="15"/>
          <w:lang w:val="en-US" w:eastAsia="zh-CN"/>
        </w:rPr>
        <w:t>冀AL6400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