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秦战辉</w:t>
      </w:r>
      <w:r>
        <w:rPr>
          <w:rFonts w:hint="eastAsia"/>
          <w:sz w:val="15"/>
          <w:szCs w:val="15"/>
          <w:highlight w:val="none"/>
        </w:rPr>
        <w:t>，</w:t>
      </w:r>
      <w:r>
        <w:rPr>
          <w:rFonts w:hint="eastAsia"/>
          <w:sz w:val="15"/>
          <w:szCs w:val="15"/>
          <w:highlight w:val="none"/>
          <w:lang w:val="en-US" w:eastAsia="zh-CN"/>
        </w:rPr>
        <w:t>132324197811291535</w:t>
      </w:r>
      <w:r>
        <w:rPr>
          <w:rFonts w:hint="eastAsia"/>
          <w:sz w:val="15"/>
          <w:szCs w:val="15"/>
        </w:rPr>
        <w:t xml:space="preserve">  </w:t>
      </w:r>
      <w:r>
        <w:rPr>
          <w:rFonts w:hint="eastAsia"/>
          <w:sz w:val="15"/>
          <w:szCs w:val="15"/>
          <w:lang w:val="en-US" w:eastAsia="zh-CN"/>
        </w:rPr>
        <w:t>沪A01652D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