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马成易</w:t>
      </w:r>
      <w:r>
        <w:rPr>
          <w:rFonts w:hint="eastAsia"/>
          <w:sz w:val="15"/>
          <w:szCs w:val="15"/>
          <w:highlight w:val="none"/>
        </w:rPr>
        <w:t>，</w:t>
      </w:r>
      <w:r>
        <w:rPr>
          <w:rFonts w:hint="eastAsia"/>
          <w:sz w:val="15"/>
          <w:szCs w:val="15"/>
          <w:highlight w:val="none"/>
          <w:lang w:val="en-US" w:eastAsia="zh-CN"/>
        </w:rPr>
        <w:t>130131198912291214</w:t>
      </w:r>
      <w:r>
        <w:rPr>
          <w:rFonts w:hint="eastAsia"/>
          <w:sz w:val="15"/>
          <w:szCs w:val="15"/>
        </w:rPr>
        <w:t xml:space="preserve">  </w:t>
      </w:r>
      <w:r>
        <w:rPr>
          <w:rFonts w:hint="eastAsia"/>
          <w:sz w:val="15"/>
          <w:szCs w:val="15"/>
          <w:lang w:val="en-US" w:eastAsia="zh-CN"/>
        </w:rPr>
        <w:t>沪A78016D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