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刘明翠</w:t>
      </w:r>
      <w:r>
        <w:rPr>
          <w:rFonts w:hint="eastAsia"/>
          <w:sz w:val="15"/>
          <w:szCs w:val="15"/>
          <w:highlight w:val="none"/>
        </w:rPr>
        <w:t>，</w:t>
      </w:r>
      <w:r>
        <w:rPr>
          <w:rFonts w:hint="eastAsia"/>
          <w:sz w:val="15"/>
          <w:szCs w:val="15"/>
          <w:highlight w:val="none"/>
          <w:lang w:val="en-US" w:eastAsia="zh-CN"/>
        </w:rPr>
        <w:t>13233519760119308X</w:t>
      </w:r>
      <w:r>
        <w:rPr>
          <w:rFonts w:hint="eastAsia"/>
          <w:sz w:val="15"/>
          <w:szCs w:val="15"/>
        </w:rPr>
        <w:t xml:space="preserve">  </w:t>
      </w:r>
      <w:r>
        <w:rPr>
          <w:rFonts w:hint="eastAsia"/>
          <w:sz w:val="15"/>
          <w:szCs w:val="15"/>
          <w:lang w:val="en-US" w:eastAsia="zh-CN"/>
        </w:rPr>
        <w:t>沪A88855D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