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王元竹</w:t>
      </w:r>
      <w:r>
        <w:rPr>
          <w:rFonts w:hint="eastAsia"/>
          <w:sz w:val="15"/>
          <w:szCs w:val="15"/>
          <w:highlight w:val="none"/>
        </w:rPr>
        <w:t>，</w:t>
      </w:r>
      <w:r>
        <w:rPr>
          <w:rFonts w:hint="eastAsia"/>
          <w:sz w:val="15"/>
          <w:szCs w:val="15"/>
          <w:highlight w:val="none"/>
          <w:lang w:val="en-US" w:eastAsia="zh-CN"/>
        </w:rPr>
        <w:t>13233519680918003X</w:t>
      </w:r>
      <w:r>
        <w:rPr>
          <w:rFonts w:hint="eastAsia"/>
          <w:sz w:val="15"/>
          <w:szCs w:val="15"/>
        </w:rPr>
        <w:t xml:space="preserve">  </w:t>
      </w:r>
      <w:r>
        <w:rPr>
          <w:rFonts w:hint="eastAsia"/>
          <w:sz w:val="15"/>
          <w:szCs w:val="15"/>
          <w:lang w:val="en-US" w:eastAsia="zh-CN"/>
        </w:rPr>
        <w:t>冀A01575D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