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李文龙</w:t>
      </w:r>
      <w:r>
        <w:rPr>
          <w:rFonts w:hint="eastAsia"/>
          <w:sz w:val="15"/>
          <w:szCs w:val="15"/>
          <w:highlight w:val="none"/>
        </w:rPr>
        <w:t>，</w:t>
      </w:r>
      <w:r>
        <w:rPr>
          <w:rFonts w:hint="eastAsia"/>
          <w:sz w:val="15"/>
          <w:szCs w:val="15"/>
          <w:highlight w:val="none"/>
          <w:lang w:val="en-US" w:eastAsia="zh-CN"/>
        </w:rPr>
        <w:t>130434198606032412</w:t>
      </w:r>
      <w:r>
        <w:rPr>
          <w:rFonts w:hint="eastAsia"/>
          <w:sz w:val="15"/>
          <w:szCs w:val="15"/>
        </w:rPr>
        <w:t xml:space="preserve">  </w:t>
      </w:r>
      <w:r>
        <w:rPr>
          <w:rFonts w:hint="eastAsia"/>
          <w:sz w:val="15"/>
          <w:szCs w:val="15"/>
          <w:lang w:val="en-US" w:eastAsia="zh-CN"/>
        </w:rPr>
        <w:t>沪A98102D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