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王泽辰</w:t>
      </w:r>
      <w:r>
        <w:rPr>
          <w:rFonts w:hint="eastAsia"/>
          <w:sz w:val="15"/>
          <w:szCs w:val="15"/>
          <w:highlight w:val="none"/>
        </w:rPr>
        <w:t>，</w:t>
      </w:r>
      <w:r>
        <w:rPr>
          <w:rFonts w:hint="eastAsia"/>
          <w:sz w:val="15"/>
          <w:szCs w:val="15"/>
          <w:highlight w:val="none"/>
          <w:lang w:val="en-US" w:eastAsia="zh-CN"/>
        </w:rPr>
        <w:t>130185200007202516</w:t>
      </w:r>
      <w:r>
        <w:rPr>
          <w:rFonts w:hint="eastAsia"/>
          <w:sz w:val="15"/>
          <w:szCs w:val="15"/>
        </w:rPr>
        <w:t xml:space="preserve">  </w:t>
      </w:r>
      <w:r>
        <w:rPr>
          <w:rFonts w:hint="eastAsia"/>
          <w:sz w:val="15"/>
          <w:szCs w:val="15"/>
          <w:lang w:val="en-US" w:eastAsia="zh-CN"/>
        </w:rPr>
        <w:t>冀A04176D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