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齐晓倩</w:t>
      </w:r>
      <w:r>
        <w:rPr>
          <w:rFonts w:hint="eastAsia"/>
          <w:sz w:val="15"/>
          <w:szCs w:val="15"/>
          <w:highlight w:val="none"/>
        </w:rPr>
        <w:t>，</w:t>
      </w:r>
      <w:r>
        <w:rPr>
          <w:rFonts w:hint="eastAsia"/>
          <w:sz w:val="15"/>
          <w:szCs w:val="15"/>
          <w:highlight w:val="none"/>
          <w:lang w:val="en-US" w:eastAsia="zh-CN"/>
        </w:rPr>
        <w:t>130131199902230025</w:t>
      </w:r>
      <w:r>
        <w:rPr>
          <w:rFonts w:hint="eastAsia"/>
          <w:sz w:val="15"/>
          <w:szCs w:val="15"/>
        </w:rPr>
        <w:t xml:space="preserve">  </w:t>
      </w:r>
      <w:r>
        <w:rPr>
          <w:rFonts w:hint="eastAsia"/>
          <w:sz w:val="15"/>
          <w:szCs w:val="15"/>
          <w:lang w:val="en-US" w:eastAsia="zh-CN"/>
        </w:rPr>
        <w:t>冀A39582D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