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韩晓丽</w:t>
      </w:r>
      <w:r>
        <w:rPr>
          <w:rFonts w:hint="eastAsia"/>
          <w:sz w:val="15"/>
          <w:szCs w:val="15"/>
          <w:highlight w:val="none"/>
        </w:rPr>
        <w:t>，</w:t>
      </w:r>
      <w:r>
        <w:rPr>
          <w:rFonts w:hint="eastAsia"/>
          <w:sz w:val="15"/>
          <w:szCs w:val="15"/>
          <w:highlight w:val="none"/>
          <w:lang w:val="en-US" w:eastAsia="zh-CN"/>
        </w:rPr>
        <w:t>130131199508286346</w:t>
      </w:r>
      <w:r>
        <w:rPr>
          <w:rFonts w:hint="eastAsia"/>
          <w:sz w:val="15"/>
          <w:szCs w:val="15"/>
        </w:rPr>
        <w:t xml:space="preserve">  </w:t>
      </w:r>
      <w:r>
        <w:rPr>
          <w:rFonts w:hint="eastAsia"/>
          <w:sz w:val="15"/>
          <w:szCs w:val="15"/>
          <w:lang w:val="en-US" w:eastAsia="zh-CN"/>
        </w:rPr>
        <w:t>冀A03739D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