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王建辉</w:t>
      </w:r>
      <w:r>
        <w:rPr>
          <w:rFonts w:hint="eastAsia"/>
          <w:sz w:val="15"/>
          <w:szCs w:val="15"/>
          <w:highlight w:val="none"/>
        </w:rPr>
        <w:t>，</w:t>
      </w:r>
      <w:r>
        <w:rPr>
          <w:rFonts w:hint="eastAsia"/>
          <w:sz w:val="15"/>
          <w:szCs w:val="15"/>
          <w:highlight w:val="none"/>
          <w:lang w:val="en-US" w:eastAsia="zh-CN"/>
        </w:rPr>
        <w:t>130131198905020635</w:t>
      </w:r>
      <w:r>
        <w:rPr>
          <w:rFonts w:hint="eastAsia"/>
          <w:sz w:val="15"/>
          <w:szCs w:val="15"/>
        </w:rPr>
        <w:t xml:space="preserve">  </w:t>
      </w:r>
      <w:r>
        <w:rPr>
          <w:rFonts w:hint="eastAsia"/>
          <w:sz w:val="15"/>
          <w:szCs w:val="15"/>
          <w:lang w:val="en-US" w:eastAsia="zh-CN"/>
        </w:rPr>
        <w:t>沪A16898A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