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张剑璞</w:t>
      </w:r>
      <w:r>
        <w:rPr>
          <w:rFonts w:hint="eastAsia"/>
          <w:sz w:val="15"/>
          <w:szCs w:val="15"/>
          <w:highlight w:val="none"/>
        </w:rPr>
        <w:t>，</w:t>
      </w:r>
      <w:r>
        <w:rPr>
          <w:rFonts w:hint="eastAsia"/>
          <w:sz w:val="15"/>
          <w:szCs w:val="15"/>
          <w:highlight w:val="none"/>
          <w:lang w:val="en-US" w:eastAsia="zh-CN"/>
        </w:rPr>
        <w:t>130131198710203618</w:t>
      </w:r>
      <w:r>
        <w:rPr>
          <w:rFonts w:hint="eastAsia"/>
          <w:sz w:val="15"/>
          <w:szCs w:val="15"/>
        </w:rPr>
        <w:t xml:space="preserve">  </w:t>
      </w:r>
      <w:r>
        <w:rPr>
          <w:rFonts w:hint="eastAsia"/>
          <w:sz w:val="15"/>
          <w:szCs w:val="15"/>
          <w:lang w:val="en-US" w:eastAsia="zh-CN"/>
        </w:rPr>
        <w:t>冀A01271D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