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李艳青</w:t>
      </w:r>
      <w:r>
        <w:rPr>
          <w:rFonts w:hint="eastAsia"/>
          <w:sz w:val="15"/>
          <w:szCs w:val="15"/>
          <w:highlight w:val="none"/>
        </w:rPr>
        <w:t>，</w:t>
      </w:r>
      <w:r>
        <w:rPr>
          <w:rFonts w:hint="eastAsia"/>
          <w:sz w:val="15"/>
          <w:szCs w:val="15"/>
          <w:highlight w:val="none"/>
          <w:lang w:val="en-US" w:eastAsia="zh-CN"/>
        </w:rPr>
        <w:t>130131198410103615</w:t>
      </w:r>
      <w:r>
        <w:rPr>
          <w:rFonts w:hint="eastAsia"/>
          <w:sz w:val="15"/>
          <w:szCs w:val="15"/>
        </w:rPr>
        <w:t xml:space="preserve">  </w:t>
      </w:r>
      <w:r>
        <w:rPr>
          <w:rFonts w:hint="eastAsia"/>
          <w:sz w:val="15"/>
          <w:szCs w:val="15"/>
          <w:lang w:val="en-US" w:eastAsia="zh-CN"/>
        </w:rPr>
        <w:t>冀A27235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