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李俊燕</w:t>
      </w:r>
      <w:r>
        <w:rPr>
          <w:rFonts w:hint="eastAsia"/>
          <w:sz w:val="15"/>
          <w:szCs w:val="15"/>
          <w:highlight w:val="none"/>
        </w:rPr>
        <w:t>，</w:t>
      </w:r>
      <w:r>
        <w:rPr>
          <w:rFonts w:hint="eastAsia"/>
          <w:sz w:val="15"/>
          <w:szCs w:val="15"/>
          <w:highlight w:val="none"/>
          <w:lang w:val="en-US" w:eastAsia="zh-CN"/>
        </w:rPr>
        <w:t>130131198407061549</w:t>
      </w:r>
      <w:r>
        <w:rPr>
          <w:rFonts w:hint="eastAsia"/>
          <w:sz w:val="15"/>
          <w:szCs w:val="15"/>
        </w:rPr>
        <w:t xml:space="preserve">  </w:t>
      </w:r>
      <w:r>
        <w:rPr>
          <w:rFonts w:hint="eastAsia"/>
          <w:sz w:val="15"/>
          <w:szCs w:val="15"/>
          <w:lang w:val="en-US" w:eastAsia="zh-CN"/>
        </w:rPr>
        <w:t>沪A12395A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