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潘少刚</w:t>
      </w:r>
      <w:r>
        <w:rPr>
          <w:rFonts w:hint="eastAsia"/>
          <w:sz w:val="15"/>
          <w:szCs w:val="15"/>
          <w:highlight w:val="none"/>
        </w:rPr>
        <w:t>，</w:t>
      </w:r>
      <w:r>
        <w:rPr>
          <w:rFonts w:hint="eastAsia"/>
          <w:sz w:val="15"/>
          <w:szCs w:val="15"/>
          <w:highlight w:val="none"/>
          <w:lang w:val="en-US" w:eastAsia="zh-CN"/>
        </w:rPr>
        <w:t>120112197003263333</w:t>
      </w:r>
      <w:r>
        <w:rPr>
          <w:rFonts w:hint="eastAsia"/>
          <w:sz w:val="15"/>
          <w:szCs w:val="15"/>
        </w:rPr>
        <w:t xml:space="preserve">  </w:t>
      </w:r>
      <w:r>
        <w:rPr>
          <w:rFonts w:hint="eastAsia"/>
          <w:sz w:val="15"/>
          <w:szCs w:val="15"/>
          <w:lang w:val="en-US" w:eastAsia="zh-CN"/>
        </w:rPr>
        <w:t>津A23635D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