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张焜</w:t>
      </w:r>
      <w:r>
        <w:rPr>
          <w:rFonts w:hint="eastAsia"/>
          <w:sz w:val="15"/>
          <w:szCs w:val="15"/>
          <w:highlight w:val="none"/>
        </w:rPr>
        <w:t>，</w:t>
      </w:r>
      <w:r>
        <w:rPr>
          <w:rFonts w:hint="eastAsia"/>
          <w:sz w:val="15"/>
          <w:szCs w:val="15"/>
          <w:highlight w:val="none"/>
          <w:lang w:val="en-US" w:eastAsia="zh-CN"/>
        </w:rPr>
        <w:t>120107200002136619</w:t>
      </w:r>
      <w:r>
        <w:rPr>
          <w:rFonts w:hint="eastAsia"/>
          <w:sz w:val="15"/>
          <w:szCs w:val="15"/>
        </w:rPr>
        <w:t xml:space="preserve">  </w:t>
      </w:r>
      <w:r>
        <w:rPr>
          <w:rFonts w:hint="eastAsia"/>
          <w:sz w:val="15"/>
          <w:szCs w:val="15"/>
          <w:lang w:val="en-US" w:eastAsia="zh-CN"/>
        </w:rPr>
        <w:t>津A29792D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