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严伟</w:t>
      </w:r>
      <w:r>
        <w:rPr>
          <w:rFonts w:hint="eastAsia"/>
          <w:sz w:val="15"/>
          <w:szCs w:val="15"/>
          <w:highlight w:val="none"/>
        </w:rPr>
        <w:t>，</w:t>
      </w:r>
      <w:r>
        <w:rPr>
          <w:rFonts w:hint="eastAsia"/>
          <w:sz w:val="15"/>
          <w:szCs w:val="15"/>
          <w:highlight w:val="none"/>
          <w:lang w:val="en-US" w:eastAsia="zh-CN"/>
        </w:rPr>
        <w:t>120107198308122113</w:t>
      </w:r>
      <w:r>
        <w:rPr>
          <w:rFonts w:hint="eastAsia"/>
          <w:sz w:val="15"/>
          <w:szCs w:val="15"/>
        </w:rPr>
        <w:t xml:space="preserve">  </w:t>
      </w:r>
      <w:r>
        <w:rPr>
          <w:rFonts w:hint="eastAsia"/>
          <w:sz w:val="15"/>
          <w:szCs w:val="15"/>
          <w:lang w:val="en-US" w:eastAsia="zh-CN"/>
        </w:rPr>
        <w:t>冀J28398D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