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唐山开谷特新能源科技有限公司</w:t>
      </w:r>
      <w:r>
        <w:rPr>
          <w:rFonts w:hint="eastAsia"/>
          <w:sz w:val="15"/>
          <w:szCs w:val="15"/>
          <w:highlight w:val="none"/>
        </w:rPr>
        <w:t>，</w:t>
      </w:r>
      <w:r>
        <w:rPr>
          <w:rFonts w:hint="eastAsia"/>
          <w:sz w:val="15"/>
          <w:szCs w:val="15"/>
          <w:highlight w:val="none"/>
          <w:lang w:val="en-US" w:eastAsia="zh-CN"/>
        </w:rPr>
        <w:t>91130230MA7C5QRP56</w:t>
      </w:r>
      <w:r>
        <w:rPr>
          <w:rFonts w:hint="eastAsia"/>
          <w:sz w:val="15"/>
          <w:szCs w:val="15"/>
        </w:rPr>
        <w:t xml:space="preserve">  </w:t>
      </w:r>
      <w:r>
        <w:rPr>
          <w:rFonts w:hint="eastAsia"/>
          <w:sz w:val="15"/>
          <w:szCs w:val="15"/>
          <w:lang w:val="en-US" w:eastAsia="zh-CN"/>
        </w:rPr>
        <w:t>冀B28824D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