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习朝</w:t>
      </w:r>
      <w:r>
        <w:rPr>
          <w:rFonts w:hint="eastAsia"/>
          <w:sz w:val="15"/>
          <w:szCs w:val="15"/>
          <w:highlight w:val="none"/>
        </w:rPr>
        <w:t>，</w:t>
      </w:r>
      <w:r>
        <w:rPr>
          <w:rFonts w:hint="eastAsia"/>
          <w:sz w:val="15"/>
          <w:szCs w:val="15"/>
          <w:highlight w:val="none"/>
          <w:lang w:val="en-US" w:eastAsia="zh-CN"/>
        </w:rPr>
        <w:t>132335197901011719</w:t>
      </w:r>
      <w:r>
        <w:rPr>
          <w:rFonts w:hint="eastAsia"/>
          <w:sz w:val="15"/>
          <w:szCs w:val="15"/>
        </w:rPr>
        <w:t xml:space="preserve">  </w:t>
      </w:r>
      <w:r>
        <w:rPr>
          <w:rFonts w:hint="eastAsia"/>
          <w:sz w:val="15"/>
          <w:szCs w:val="15"/>
          <w:lang w:val="en-US" w:eastAsia="zh-CN"/>
        </w:rPr>
        <w:t>冀A02899D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