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梁晓</w:t>
      </w:r>
      <w:r>
        <w:rPr>
          <w:rFonts w:hint="eastAsia"/>
          <w:sz w:val="15"/>
          <w:szCs w:val="15"/>
          <w:highlight w:val="none"/>
        </w:rPr>
        <w:t>，</w:t>
      </w:r>
      <w:r>
        <w:rPr>
          <w:rFonts w:hint="eastAsia"/>
          <w:sz w:val="15"/>
          <w:szCs w:val="15"/>
          <w:highlight w:val="none"/>
          <w:lang w:val="en-US" w:eastAsia="zh-CN"/>
        </w:rPr>
        <w:t>130131199306200022</w:t>
      </w:r>
      <w:r>
        <w:rPr>
          <w:rFonts w:hint="eastAsia"/>
          <w:sz w:val="15"/>
          <w:szCs w:val="15"/>
        </w:rPr>
        <w:t xml:space="preserve">  </w:t>
      </w:r>
      <w:r>
        <w:rPr>
          <w:rFonts w:hint="eastAsia"/>
          <w:sz w:val="15"/>
          <w:szCs w:val="15"/>
          <w:lang w:val="en-US" w:eastAsia="zh-CN"/>
        </w:rPr>
        <w:t>冀A01624D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