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盖英才</w:t>
      </w:r>
      <w:r>
        <w:rPr>
          <w:rFonts w:hint="eastAsia"/>
          <w:sz w:val="15"/>
          <w:szCs w:val="15"/>
          <w:highlight w:val="none"/>
        </w:rPr>
        <w:t>，</w:t>
      </w:r>
      <w:r>
        <w:rPr>
          <w:rFonts w:hint="eastAsia"/>
          <w:sz w:val="15"/>
          <w:szCs w:val="15"/>
          <w:highlight w:val="none"/>
          <w:lang w:val="en-US" w:eastAsia="zh-CN"/>
        </w:rPr>
        <w:t>130131198502163615</w:t>
      </w:r>
      <w:r>
        <w:rPr>
          <w:rFonts w:hint="eastAsia"/>
          <w:sz w:val="15"/>
          <w:szCs w:val="15"/>
        </w:rPr>
        <w:t xml:space="preserve">  </w:t>
      </w:r>
      <w:r>
        <w:rPr>
          <w:rFonts w:hint="eastAsia"/>
          <w:sz w:val="15"/>
          <w:szCs w:val="15"/>
          <w:lang w:val="en-US" w:eastAsia="zh-CN"/>
        </w:rPr>
        <w:t>冀A46007D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