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沈春辉</w:t>
      </w:r>
      <w:r>
        <w:rPr>
          <w:rFonts w:hint="eastAsia"/>
          <w:sz w:val="15"/>
          <w:szCs w:val="15"/>
          <w:highlight w:val="none"/>
        </w:rPr>
        <w:t>，</w:t>
      </w:r>
      <w:r>
        <w:rPr>
          <w:rFonts w:hint="eastAsia"/>
          <w:sz w:val="15"/>
          <w:szCs w:val="15"/>
          <w:highlight w:val="none"/>
          <w:lang w:val="en-US" w:eastAsia="zh-CN"/>
        </w:rPr>
        <w:t>130123198712213334</w:t>
      </w:r>
      <w:r>
        <w:rPr>
          <w:rFonts w:hint="eastAsia"/>
          <w:sz w:val="15"/>
          <w:szCs w:val="15"/>
        </w:rPr>
        <w:t xml:space="preserve">  </w:t>
      </w:r>
      <w:r>
        <w:rPr>
          <w:rFonts w:hint="eastAsia"/>
          <w:sz w:val="15"/>
          <w:szCs w:val="15"/>
          <w:lang w:val="en-US" w:eastAsia="zh-CN"/>
        </w:rPr>
        <w:t>冀A05082D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