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尚丽明</w:t>
      </w:r>
      <w:r>
        <w:rPr>
          <w:rFonts w:hint="eastAsia"/>
          <w:sz w:val="15"/>
          <w:szCs w:val="15"/>
          <w:highlight w:val="none"/>
        </w:rPr>
        <w:t>，</w:t>
      </w:r>
      <w:r>
        <w:rPr>
          <w:rFonts w:hint="eastAsia"/>
          <w:sz w:val="15"/>
          <w:szCs w:val="15"/>
          <w:highlight w:val="none"/>
          <w:lang w:val="en-US" w:eastAsia="zh-CN"/>
        </w:rPr>
        <w:t>132336197502091121</w:t>
      </w:r>
      <w:r>
        <w:rPr>
          <w:rFonts w:hint="eastAsia"/>
          <w:sz w:val="15"/>
          <w:szCs w:val="15"/>
        </w:rPr>
        <w:t xml:space="preserve">  </w:t>
      </w:r>
      <w:r>
        <w:rPr>
          <w:rFonts w:hint="eastAsia"/>
          <w:sz w:val="15"/>
          <w:szCs w:val="15"/>
          <w:lang w:val="en-US" w:eastAsia="zh-CN"/>
        </w:rPr>
        <w:t>冀A01186D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