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施素花</w:t>
      </w:r>
      <w:r>
        <w:rPr>
          <w:rFonts w:hint="eastAsia"/>
          <w:sz w:val="15"/>
          <w:szCs w:val="15"/>
          <w:highlight w:val="none"/>
        </w:rPr>
        <w:t>，</w:t>
      </w:r>
      <w:r>
        <w:rPr>
          <w:rFonts w:hint="eastAsia"/>
          <w:sz w:val="15"/>
          <w:szCs w:val="15"/>
          <w:highlight w:val="none"/>
          <w:lang w:val="en-US" w:eastAsia="zh-CN"/>
        </w:rPr>
        <w:t>132335197507271029</w:t>
      </w:r>
      <w:r>
        <w:rPr>
          <w:rFonts w:hint="eastAsia"/>
          <w:sz w:val="15"/>
          <w:szCs w:val="15"/>
        </w:rPr>
        <w:t xml:space="preserve">  </w:t>
      </w:r>
      <w:r>
        <w:rPr>
          <w:rFonts w:hint="eastAsia"/>
          <w:sz w:val="15"/>
          <w:szCs w:val="15"/>
          <w:lang w:val="en-US" w:eastAsia="zh-CN"/>
        </w:rPr>
        <w:t>冀A37915D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