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王振元</w:t>
      </w:r>
      <w:r>
        <w:rPr>
          <w:rFonts w:hint="eastAsia"/>
          <w:sz w:val="15"/>
          <w:szCs w:val="15"/>
          <w:highlight w:val="none"/>
        </w:rPr>
        <w:t>，</w:t>
      </w:r>
      <w:r>
        <w:rPr>
          <w:rFonts w:hint="eastAsia"/>
          <w:sz w:val="15"/>
          <w:szCs w:val="15"/>
          <w:highlight w:val="none"/>
          <w:lang w:val="en-US" w:eastAsia="zh-CN"/>
        </w:rPr>
        <w:t>132335197304061013</w:t>
      </w:r>
      <w:r>
        <w:rPr>
          <w:rFonts w:hint="eastAsia"/>
          <w:sz w:val="15"/>
          <w:szCs w:val="15"/>
        </w:rPr>
        <w:t xml:space="preserve">  </w:t>
      </w:r>
      <w:r>
        <w:rPr>
          <w:rFonts w:hint="eastAsia"/>
          <w:sz w:val="15"/>
          <w:szCs w:val="15"/>
          <w:lang w:val="en-US" w:eastAsia="zh-CN"/>
        </w:rPr>
        <w:t>冀A9839H</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