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秘英桃</w:t>
      </w:r>
      <w:r>
        <w:rPr>
          <w:rFonts w:hint="eastAsia"/>
          <w:sz w:val="15"/>
          <w:szCs w:val="15"/>
          <w:highlight w:val="none"/>
        </w:rPr>
        <w:t>，</w:t>
      </w:r>
      <w:r>
        <w:rPr>
          <w:rFonts w:hint="eastAsia"/>
          <w:sz w:val="15"/>
          <w:szCs w:val="15"/>
          <w:highlight w:val="none"/>
          <w:lang w:val="en-US" w:eastAsia="zh-CN"/>
        </w:rPr>
        <w:t>13233519700804258X</w:t>
      </w:r>
      <w:r>
        <w:rPr>
          <w:rFonts w:hint="eastAsia"/>
          <w:sz w:val="15"/>
          <w:szCs w:val="15"/>
        </w:rPr>
        <w:t xml:space="preserve">  </w:t>
      </w:r>
      <w:r>
        <w:rPr>
          <w:rFonts w:hint="eastAsia"/>
          <w:sz w:val="15"/>
          <w:szCs w:val="15"/>
          <w:lang w:val="en-US" w:eastAsia="zh-CN"/>
        </w:rPr>
        <w:t>沪A86750D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