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赵坤</w:t>
      </w:r>
      <w:r>
        <w:rPr>
          <w:rFonts w:hint="eastAsia"/>
          <w:sz w:val="15"/>
          <w:szCs w:val="15"/>
          <w:highlight w:val="none"/>
        </w:rPr>
        <w:t>，</w:t>
      </w:r>
      <w:r>
        <w:rPr>
          <w:rFonts w:hint="eastAsia"/>
          <w:sz w:val="15"/>
          <w:szCs w:val="15"/>
          <w:highlight w:val="none"/>
          <w:lang w:val="en-US" w:eastAsia="zh-CN"/>
        </w:rPr>
        <w:t>130131199501203616</w:t>
      </w:r>
      <w:r>
        <w:rPr>
          <w:rFonts w:hint="eastAsia"/>
          <w:sz w:val="15"/>
          <w:szCs w:val="15"/>
        </w:rPr>
        <w:t xml:space="preserve">  </w:t>
      </w:r>
      <w:r>
        <w:rPr>
          <w:rFonts w:hint="eastAsia"/>
          <w:sz w:val="15"/>
          <w:szCs w:val="15"/>
          <w:lang w:val="en-US" w:eastAsia="zh-CN"/>
        </w:rPr>
        <w:t>冀A01271D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