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李晓苗</w:t>
      </w:r>
      <w:r>
        <w:rPr>
          <w:rFonts w:hint="eastAsia"/>
          <w:sz w:val="15"/>
          <w:szCs w:val="15"/>
          <w:highlight w:val="none"/>
        </w:rPr>
        <w:t>，</w:t>
      </w:r>
      <w:r>
        <w:rPr>
          <w:rFonts w:hint="eastAsia"/>
          <w:sz w:val="15"/>
          <w:szCs w:val="15"/>
          <w:highlight w:val="none"/>
          <w:lang w:val="en-US" w:eastAsia="zh-CN"/>
        </w:rPr>
        <w:t>13013119900907332X</w:t>
      </w:r>
      <w:r>
        <w:rPr>
          <w:rFonts w:hint="eastAsia"/>
          <w:sz w:val="15"/>
          <w:szCs w:val="15"/>
        </w:rPr>
        <w:t xml:space="preserve">  </w:t>
      </w:r>
      <w:r>
        <w:rPr>
          <w:rFonts w:hint="eastAsia"/>
          <w:sz w:val="15"/>
          <w:szCs w:val="15"/>
          <w:lang w:val="en-US" w:eastAsia="zh-CN"/>
        </w:rPr>
        <w:t>冀A39929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