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孙剑</w:t>
      </w:r>
      <w:r>
        <w:rPr>
          <w:rFonts w:hint="eastAsia"/>
          <w:sz w:val="15"/>
          <w:szCs w:val="15"/>
          <w:highlight w:val="none"/>
        </w:rPr>
        <w:t>，</w:t>
      </w:r>
      <w:r>
        <w:rPr>
          <w:rFonts w:hint="eastAsia"/>
          <w:sz w:val="15"/>
          <w:szCs w:val="15"/>
          <w:highlight w:val="none"/>
          <w:lang w:val="en-US" w:eastAsia="zh-CN"/>
        </w:rPr>
        <w:t>130131198902235411</w:t>
      </w:r>
      <w:r>
        <w:rPr>
          <w:rFonts w:hint="eastAsia"/>
          <w:sz w:val="15"/>
          <w:szCs w:val="15"/>
        </w:rPr>
        <w:t xml:space="preserve">  </w:t>
      </w:r>
      <w:r>
        <w:rPr>
          <w:rFonts w:hint="eastAsia"/>
          <w:sz w:val="15"/>
          <w:szCs w:val="15"/>
          <w:lang w:val="en-US" w:eastAsia="zh-CN"/>
        </w:rPr>
        <w:t>冀A1360A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