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王阳</w:t>
      </w:r>
      <w:r>
        <w:rPr>
          <w:rFonts w:hint="eastAsia"/>
          <w:sz w:val="15"/>
          <w:szCs w:val="15"/>
          <w:highlight w:val="none"/>
        </w:rPr>
        <w:t>，</w:t>
      </w:r>
      <w:r>
        <w:rPr>
          <w:rFonts w:hint="eastAsia"/>
          <w:sz w:val="15"/>
          <w:szCs w:val="15"/>
          <w:highlight w:val="none"/>
          <w:lang w:val="en-US" w:eastAsia="zh-CN"/>
        </w:rPr>
        <w:t>130131198810070058</w:t>
      </w:r>
      <w:r>
        <w:rPr>
          <w:rFonts w:hint="eastAsia"/>
          <w:sz w:val="15"/>
          <w:szCs w:val="15"/>
        </w:rPr>
        <w:t xml:space="preserve">  </w:t>
      </w:r>
      <w:r>
        <w:rPr>
          <w:rFonts w:hint="eastAsia"/>
          <w:sz w:val="15"/>
          <w:szCs w:val="15"/>
          <w:lang w:val="en-US" w:eastAsia="zh-CN"/>
        </w:rPr>
        <w:t>冀A05040D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