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王永龙</w:t>
      </w:r>
      <w:r>
        <w:rPr>
          <w:rFonts w:hint="eastAsia"/>
          <w:sz w:val="15"/>
          <w:szCs w:val="15"/>
          <w:highlight w:val="none"/>
        </w:rPr>
        <w:t>，</w:t>
      </w:r>
      <w:r>
        <w:rPr>
          <w:rFonts w:hint="eastAsia"/>
          <w:sz w:val="15"/>
          <w:szCs w:val="15"/>
          <w:highlight w:val="none"/>
          <w:lang w:val="en-US" w:eastAsia="zh-CN"/>
        </w:rPr>
        <w:t>130131198804142713</w:t>
      </w:r>
      <w:r>
        <w:rPr>
          <w:rFonts w:hint="eastAsia"/>
          <w:sz w:val="15"/>
          <w:szCs w:val="15"/>
        </w:rPr>
        <w:t xml:space="preserve">  </w:t>
      </w:r>
      <w:r>
        <w:rPr>
          <w:rFonts w:hint="eastAsia"/>
          <w:sz w:val="15"/>
          <w:szCs w:val="15"/>
          <w:lang w:val="en-US" w:eastAsia="zh-CN"/>
        </w:rPr>
        <w:t>冀A6335W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