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王胜飞</w:t>
      </w:r>
      <w:r>
        <w:rPr>
          <w:rFonts w:hint="eastAsia"/>
          <w:sz w:val="15"/>
          <w:szCs w:val="15"/>
          <w:highlight w:val="none"/>
        </w:rPr>
        <w:t>，</w:t>
      </w:r>
      <w:r>
        <w:rPr>
          <w:rFonts w:hint="eastAsia"/>
          <w:sz w:val="15"/>
          <w:szCs w:val="15"/>
          <w:highlight w:val="none"/>
          <w:lang w:val="en-US" w:eastAsia="zh-CN"/>
        </w:rPr>
        <w:t>130131198612010118</w:t>
      </w:r>
      <w:r>
        <w:rPr>
          <w:rFonts w:hint="eastAsia"/>
          <w:sz w:val="15"/>
          <w:szCs w:val="15"/>
        </w:rPr>
        <w:t xml:space="preserve">  </w:t>
      </w:r>
      <w:r>
        <w:rPr>
          <w:rFonts w:hint="eastAsia"/>
          <w:sz w:val="15"/>
          <w:szCs w:val="15"/>
          <w:lang w:val="en-US" w:eastAsia="zh-CN"/>
        </w:rPr>
        <w:t>冀A828AK</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