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崔兴波</w:t>
      </w:r>
      <w:r>
        <w:rPr>
          <w:rFonts w:hint="eastAsia"/>
          <w:sz w:val="15"/>
          <w:szCs w:val="15"/>
          <w:highlight w:val="none"/>
        </w:rPr>
        <w:t>，</w:t>
      </w:r>
      <w:r>
        <w:rPr>
          <w:rFonts w:hint="eastAsia"/>
          <w:sz w:val="15"/>
          <w:szCs w:val="15"/>
          <w:highlight w:val="none"/>
          <w:lang w:val="en-US" w:eastAsia="zh-CN"/>
        </w:rPr>
        <w:t>130131198412300612</w:t>
      </w:r>
      <w:r>
        <w:rPr>
          <w:rFonts w:hint="eastAsia"/>
          <w:sz w:val="15"/>
          <w:szCs w:val="15"/>
        </w:rPr>
        <w:t xml:space="preserve">  </w:t>
      </w:r>
      <w:r>
        <w:rPr>
          <w:rFonts w:hint="eastAsia"/>
          <w:sz w:val="15"/>
          <w:szCs w:val="15"/>
          <w:lang w:val="en-US" w:eastAsia="zh-CN"/>
        </w:rPr>
        <w:t>冀A46182D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