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梁晓莉</w:t>
      </w:r>
      <w:r>
        <w:rPr>
          <w:rFonts w:hint="eastAsia"/>
          <w:sz w:val="15"/>
          <w:szCs w:val="15"/>
          <w:highlight w:val="none"/>
        </w:rPr>
        <w:t>，</w:t>
      </w:r>
      <w:r>
        <w:rPr>
          <w:rFonts w:hint="eastAsia"/>
          <w:sz w:val="15"/>
          <w:szCs w:val="15"/>
          <w:highlight w:val="none"/>
          <w:lang w:val="en-US" w:eastAsia="zh-CN"/>
        </w:rPr>
        <w:t>130131198310060021</w:t>
      </w:r>
      <w:r>
        <w:rPr>
          <w:rFonts w:hint="eastAsia"/>
          <w:sz w:val="15"/>
          <w:szCs w:val="15"/>
        </w:rPr>
        <w:t xml:space="preserve">  </w:t>
      </w:r>
      <w:r>
        <w:rPr>
          <w:rFonts w:hint="eastAsia"/>
          <w:sz w:val="15"/>
          <w:szCs w:val="15"/>
          <w:lang w:val="en-US" w:eastAsia="zh-CN"/>
        </w:rPr>
        <w:t>冀A07856D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