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卢利波</w:t>
      </w:r>
      <w:r>
        <w:rPr>
          <w:rFonts w:hint="eastAsia"/>
          <w:sz w:val="15"/>
          <w:szCs w:val="15"/>
          <w:highlight w:val="none"/>
        </w:rPr>
        <w:t>，</w:t>
      </w:r>
      <w:r>
        <w:rPr>
          <w:rFonts w:hint="eastAsia"/>
          <w:sz w:val="15"/>
          <w:szCs w:val="15"/>
          <w:highlight w:val="none"/>
          <w:lang w:val="en-US" w:eastAsia="zh-CN"/>
        </w:rPr>
        <w:t>130131198203023938</w:t>
      </w:r>
      <w:r>
        <w:rPr>
          <w:rFonts w:hint="eastAsia"/>
          <w:sz w:val="15"/>
          <w:szCs w:val="15"/>
        </w:rPr>
        <w:t xml:space="preserve">  </w:t>
      </w:r>
      <w:r>
        <w:rPr>
          <w:rFonts w:hint="eastAsia"/>
          <w:sz w:val="15"/>
          <w:szCs w:val="15"/>
          <w:lang w:val="en-US" w:eastAsia="zh-CN"/>
        </w:rPr>
        <w:t>冀A4820Y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