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范波波</w:t>
      </w:r>
      <w:r>
        <w:rPr>
          <w:rFonts w:hint="eastAsia"/>
          <w:sz w:val="15"/>
          <w:szCs w:val="15"/>
          <w:highlight w:val="none"/>
        </w:rPr>
        <w:t>，</w:t>
      </w:r>
      <w:r>
        <w:rPr>
          <w:rFonts w:hint="eastAsia"/>
          <w:sz w:val="15"/>
          <w:szCs w:val="15"/>
          <w:highlight w:val="none"/>
          <w:lang w:val="en-US" w:eastAsia="zh-CN"/>
        </w:rPr>
        <w:t>130131198103290035</w:t>
      </w:r>
      <w:r>
        <w:rPr>
          <w:rFonts w:hint="eastAsia"/>
          <w:sz w:val="15"/>
          <w:szCs w:val="15"/>
        </w:rPr>
        <w:t xml:space="preserve">  </w:t>
      </w:r>
      <w:r>
        <w:rPr>
          <w:rFonts w:hint="eastAsia"/>
          <w:sz w:val="15"/>
          <w:szCs w:val="15"/>
          <w:lang w:val="en-US" w:eastAsia="zh-CN"/>
        </w:rPr>
        <w:t>冀A48810D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