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余书方</w:t>
      </w:r>
      <w:r>
        <w:rPr>
          <w:rFonts w:hint="eastAsia"/>
          <w:sz w:val="15"/>
          <w:szCs w:val="15"/>
          <w:highlight w:val="none"/>
        </w:rPr>
        <w:t>，</w:t>
      </w:r>
      <w:r>
        <w:rPr>
          <w:rFonts w:hint="eastAsia"/>
          <w:sz w:val="15"/>
          <w:szCs w:val="15"/>
          <w:highlight w:val="none"/>
          <w:lang w:val="en-US" w:eastAsia="zh-CN"/>
        </w:rPr>
        <w:t>130126198204120915</w:t>
      </w:r>
      <w:r>
        <w:rPr>
          <w:rFonts w:hint="eastAsia"/>
          <w:sz w:val="15"/>
          <w:szCs w:val="15"/>
        </w:rPr>
        <w:t xml:space="preserve">  </w:t>
      </w:r>
      <w:r>
        <w:rPr>
          <w:rFonts w:hint="eastAsia"/>
          <w:sz w:val="15"/>
          <w:szCs w:val="15"/>
          <w:lang w:val="en-US" w:eastAsia="zh-CN"/>
        </w:rPr>
        <w:t>沪A39959D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