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康国红</w:t>
      </w:r>
      <w:r>
        <w:rPr>
          <w:rFonts w:hint="eastAsia"/>
          <w:sz w:val="15"/>
          <w:szCs w:val="15"/>
          <w:highlight w:val="none"/>
        </w:rPr>
        <w:t>，</w:t>
      </w:r>
      <w:r>
        <w:rPr>
          <w:rFonts w:hint="eastAsia"/>
          <w:sz w:val="15"/>
          <w:szCs w:val="15"/>
          <w:highlight w:val="none"/>
          <w:lang w:val="en-US" w:eastAsia="zh-CN"/>
        </w:rPr>
        <w:t>132335197508021312</w:t>
      </w:r>
      <w:r>
        <w:rPr>
          <w:rFonts w:hint="eastAsia"/>
          <w:sz w:val="15"/>
          <w:szCs w:val="15"/>
        </w:rPr>
        <w:t xml:space="preserve">  </w:t>
      </w:r>
      <w:r>
        <w:rPr>
          <w:rFonts w:hint="eastAsia"/>
          <w:sz w:val="15"/>
          <w:szCs w:val="15"/>
          <w:lang w:val="en-US" w:eastAsia="zh-CN"/>
        </w:rPr>
        <w:t>冀A05381D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