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焦顺花</w:t>
      </w:r>
      <w:r>
        <w:rPr>
          <w:rFonts w:hint="eastAsia"/>
          <w:sz w:val="15"/>
          <w:szCs w:val="15"/>
          <w:highlight w:val="none"/>
        </w:rPr>
        <w:t>，</w:t>
      </w:r>
      <w:r>
        <w:rPr>
          <w:rFonts w:hint="eastAsia"/>
          <w:sz w:val="15"/>
          <w:szCs w:val="15"/>
          <w:highlight w:val="none"/>
          <w:lang w:val="en-US" w:eastAsia="zh-CN"/>
        </w:rPr>
        <w:t>132335196803040888</w:t>
      </w:r>
      <w:r>
        <w:rPr>
          <w:rFonts w:hint="eastAsia"/>
          <w:sz w:val="15"/>
          <w:szCs w:val="15"/>
        </w:rPr>
        <w:t xml:space="preserve">  </w:t>
      </w:r>
      <w:r>
        <w:rPr>
          <w:rFonts w:hint="eastAsia"/>
          <w:sz w:val="15"/>
          <w:szCs w:val="15"/>
          <w:lang w:val="en-US" w:eastAsia="zh-CN"/>
        </w:rPr>
        <w:t>冀A09246D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